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8F0" w:rsidRDefault="00F41910">
      <w:pPr>
        <w:pStyle w:val="Standard"/>
        <w:spacing w:line="240" w:lineRule="auto"/>
        <w:jc w:val="right"/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0D58F0" w:rsidRDefault="00F41910">
      <w:pPr>
        <w:pStyle w:val="Standard"/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0D58F0" w:rsidRDefault="00F41910">
      <w:pPr>
        <w:pStyle w:val="Standard"/>
        <w:spacing w:after="0" w:line="240" w:lineRule="exact"/>
        <w:jc w:val="center"/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 </w:t>
      </w:r>
      <w:r>
        <w:rPr>
          <w:rFonts w:ascii="Corbel" w:hAnsi="Corbel"/>
          <w:b/>
          <w:smallCaps/>
        </w:rPr>
        <w:t>2022/2023 – 2024/2025</w:t>
      </w:r>
    </w:p>
    <w:p w:rsidR="000D58F0" w:rsidRDefault="00F41910">
      <w:pPr>
        <w:pStyle w:val="Standard"/>
        <w:spacing w:after="0"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:rsidR="000D58F0" w:rsidRDefault="00F41910">
      <w:pPr>
        <w:pStyle w:val="Standard"/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 xml:space="preserve">Rok </w:t>
      </w:r>
      <w:r w:rsidR="0099138D">
        <w:rPr>
          <w:rFonts w:ascii="Corbel" w:hAnsi="Corbel"/>
        </w:rPr>
        <w:t>akademicki   2023/2024</w:t>
      </w:r>
      <w:bookmarkStart w:id="0" w:name="_GoBack"/>
      <w:bookmarkEnd w:id="0"/>
    </w:p>
    <w:p w:rsidR="000D58F0" w:rsidRDefault="000D58F0">
      <w:pPr>
        <w:pStyle w:val="Standard"/>
        <w:spacing w:after="0" w:line="240" w:lineRule="auto"/>
        <w:rPr>
          <w:rFonts w:ascii="Corbel" w:hAnsi="Corbel"/>
        </w:rPr>
      </w:pPr>
    </w:p>
    <w:p w:rsidR="000D58F0" w:rsidRDefault="00F41910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1. Podstawowe informacje o przedmiocie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przedmiotu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Język starożytny (łacina)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Kod przedmiotu*</w:t>
      </w:r>
    </w:p>
    <w:p w:rsidR="000D58F0" w:rsidRDefault="000D58F0">
      <w:pPr>
        <w:pStyle w:val="Odpowiedzi"/>
        <w:spacing w:before="100" w:after="100"/>
        <w:rPr>
          <w:rFonts w:ascii="Corbel" w:hAnsi="Corbel"/>
          <w:b w:val="0"/>
          <w:sz w:val="22"/>
        </w:rPr>
      </w:pPr>
    </w:p>
    <w:p w:rsidR="000D58F0" w:rsidRDefault="00F41910">
      <w:pPr>
        <w:pStyle w:val="Pytania"/>
        <w:spacing w:before="0" w:after="0" w:line="240" w:lineRule="exact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jednostki prowadzącej kierunek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Kolegium Nauk Humanistycznych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jednostki realizującej przedmiot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Studium Języków Obcych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Kierunek studiów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Filozofia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Poziom studiów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studia pierwszego stopnia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Profil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0gólnoakademicki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Forma studiów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stacjonarne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Rok i semestr/y studiów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I rok, semestr 1 i 2; II rok, semestr 3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Rodzaj przedmiotu</w:t>
      </w:r>
    </w:p>
    <w:p w:rsidR="000D58F0" w:rsidRDefault="000D58F0">
      <w:pPr>
        <w:pStyle w:val="Odpowiedzi"/>
        <w:spacing w:before="100" w:after="100"/>
        <w:rPr>
          <w:rFonts w:ascii="Corbel" w:hAnsi="Corbel"/>
          <w:b w:val="0"/>
          <w:sz w:val="22"/>
        </w:rPr>
      </w:pP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ćwiczenia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Język wykładowy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język polski 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Koordynator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mgr Renata Nowak</w:t>
      </w:r>
    </w:p>
    <w:p w:rsidR="000D58F0" w:rsidRDefault="00F41910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Imię i nazwisko osoby prowadzącej / osób prowadzących</w:t>
      </w:r>
    </w:p>
    <w:p w:rsidR="000D58F0" w:rsidRDefault="00F41910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mgr Renata Nowak</w:t>
      </w:r>
    </w:p>
    <w:p w:rsidR="000D58F0" w:rsidRDefault="00F41910">
      <w:pPr>
        <w:pStyle w:val="Podpunkty"/>
        <w:spacing w:before="100" w:after="100"/>
        <w:ind w:left="0"/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:rsidR="000D58F0" w:rsidRDefault="000D58F0">
      <w:pPr>
        <w:pStyle w:val="Podpunkty"/>
        <w:ind w:left="0"/>
        <w:rPr>
          <w:rFonts w:ascii="Corbel" w:hAnsi="Corbel"/>
          <w:szCs w:val="22"/>
        </w:rPr>
      </w:pPr>
    </w:p>
    <w:p w:rsidR="000D58F0" w:rsidRDefault="00F41910">
      <w:pPr>
        <w:pStyle w:val="Podpunkty"/>
        <w:ind w:left="284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>1.1.Formy zajęć dydaktycznych, wymiar godzin i punktów ECTS</w:t>
      </w:r>
    </w:p>
    <w:p w:rsidR="000D58F0" w:rsidRDefault="000D58F0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0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"/>
        <w:gridCol w:w="871"/>
        <w:gridCol w:w="728"/>
        <w:gridCol w:w="850"/>
        <w:gridCol w:w="756"/>
        <w:gridCol w:w="794"/>
        <w:gridCol w:w="681"/>
        <w:gridCol w:w="908"/>
        <w:gridCol w:w="1264"/>
        <w:gridCol w:w="1707"/>
      </w:tblGrid>
      <w:tr w:rsidR="000D58F0"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Semestr</w:t>
            </w:r>
          </w:p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>
              <w:rPr>
                <w:rFonts w:ascii="Corbel" w:hAnsi="Corbel"/>
                <w:b/>
                <w:sz w:val="22"/>
              </w:rPr>
              <w:t>Liczba pkt. ECTS</w:t>
            </w:r>
          </w:p>
        </w:tc>
      </w:tr>
      <w:tr w:rsidR="000D58F0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0D58F0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0D58F0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0D58F0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</w:tbl>
    <w:p w:rsidR="000D58F0" w:rsidRDefault="000D58F0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0D58F0" w:rsidRDefault="000D58F0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0D58F0" w:rsidRDefault="00F41910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1.2.</w:t>
      </w:r>
      <w:r>
        <w:rPr>
          <w:rFonts w:ascii="Corbel" w:hAnsi="Corbel"/>
          <w:sz w:val="22"/>
        </w:rPr>
        <w:tab/>
        <w:t xml:space="preserve">Sposób realizacji zajęć  </w:t>
      </w:r>
    </w:p>
    <w:p w:rsidR="000D58F0" w:rsidRDefault="00F41910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</w:rPr>
        <w:t>☒</w:t>
      </w:r>
      <w:r>
        <w:rPr>
          <w:rFonts w:ascii="Corbel" w:hAnsi="Corbel"/>
          <w:b w:val="0"/>
          <w:sz w:val="22"/>
        </w:rPr>
        <w:t>zajęcia w formie tradycyjnej</w:t>
      </w:r>
    </w:p>
    <w:p w:rsidR="000D58F0" w:rsidRDefault="00F41910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</w:rPr>
        <w:t>☐</w:t>
      </w:r>
      <w:r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0D58F0" w:rsidRDefault="000D58F0">
      <w:pPr>
        <w:pStyle w:val="Punktygwne"/>
        <w:spacing w:before="0" w:after="0"/>
        <w:rPr>
          <w:rFonts w:ascii="Corbel" w:hAnsi="Corbel"/>
          <w:sz w:val="22"/>
        </w:rPr>
      </w:pPr>
    </w:p>
    <w:p w:rsidR="000D58F0" w:rsidRDefault="00F41910">
      <w:pPr>
        <w:pStyle w:val="Punktygwne"/>
        <w:tabs>
          <w:tab w:val="left" w:pos="1418"/>
        </w:tabs>
        <w:spacing w:before="0" w:after="0"/>
        <w:ind w:left="709" w:hanging="425"/>
      </w:pPr>
      <w:r>
        <w:rPr>
          <w:rFonts w:ascii="Corbel" w:hAnsi="Corbel"/>
          <w:sz w:val="22"/>
        </w:rPr>
        <w:t xml:space="preserve">1.3 </w:t>
      </w:r>
      <w:r>
        <w:rPr>
          <w:rFonts w:ascii="Corbel" w:hAnsi="Corbel"/>
          <w:sz w:val="22"/>
        </w:rPr>
        <w:tab/>
        <w:t xml:space="preserve">Forma zaliczenia przedmiotu  (z toku) </w:t>
      </w:r>
      <w:r>
        <w:rPr>
          <w:rFonts w:ascii="Corbel" w:hAnsi="Corbel"/>
          <w:b w:val="0"/>
          <w:sz w:val="22"/>
        </w:rPr>
        <w:t>(egzamin, zaliczenie z oceną, zaliczenie bez oceny)</w:t>
      </w:r>
    </w:p>
    <w:p w:rsidR="000D58F0" w:rsidRDefault="00F41910">
      <w:pPr>
        <w:pStyle w:val="Standard"/>
        <w:rPr>
          <w:rFonts w:ascii="Corbel" w:hAnsi="Corbel"/>
        </w:rPr>
      </w:pPr>
      <w:r>
        <w:rPr>
          <w:rFonts w:ascii="Corbel" w:hAnsi="Corbel"/>
        </w:rPr>
        <w:tab/>
        <w:t>Ćwiczenia: zaliczenie z oceną.</w:t>
      </w:r>
    </w:p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2.Wymagania wstępne</w:t>
      </w: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0D58F0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Wiedza z zakresu historii, filozofii, kultury antycznej na poziomie szkoły średniej.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sz w:val="22"/>
        </w:rPr>
      </w:pPr>
    </w:p>
    <w:p w:rsidR="000D58F0" w:rsidRDefault="00F41910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3. cele, efekty uczenia się , treści Programowe i stosowane metody Dydaktyczne</w:t>
      </w:r>
    </w:p>
    <w:p w:rsidR="000D58F0" w:rsidRDefault="000D58F0">
      <w:pPr>
        <w:pStyle w:val="Punktygwne"/>
        <w:spacing w:before="0" w:after="0"/>
        <w:rPr>
          <w:rFonts w:ascii="Corbel" w:hAnsi="Corbel"/>
          <w:sz w:val="22"/>
        </w:rPr>
      </w:pPr>
    </w:p>
    <w:p w:rsidR="000D58F0" w:rsidRDefault="00F41910">
      <w:pPr>
        <w:pStyle w:val="Podpunkty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>3.1 Cele przedmiotu</w:t>
      </w:r>
    </w:p>
    <w:p w:rsidR="000D58F0" w:rsidRDefault="000D58F0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8821"/>
      </w:tblGrid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Standard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Wykształcenie umiejętności poprawnego czytania, tłumaczenia i analizowania prostych tekstów oryginalnych przy pomocy słownika.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Rozpoznawanie form gramatycznych i konstrukcji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Poszerzenie wiedzy z zakresu kultury antycznej (ze szczególnym uwzględnieniem filozofii starożytnej), zapoznanie z terminologią filozoficzną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Znajomość skrótów łacińskich stosowanych w opracowaniach naukowych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Dostrzeganie związków kultury antycznej ze współczesną kulturą polską i europejską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Dostrzeganie istniejących pokrewieństw pomiędzy wyrazami łacińskimi i wyrazami polskimi oraz wyrazami z innych języków europejskich</w:t>
            </w:r>
          </w:p>
        </w:tc>
      </w:tr>
      <w:tr w:rsidR="000D58F0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Opanowanie wybranych przysłów i powiedzeń łacińskich i umiejętność</w:t>
            </w:r>
          </w:p>
          <w:p w:rsidR="000D58F0" w:rsidRDefault="00F419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zastosowania ich w określonych sytuacjach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0D58F0" w:rsidRDefault="00F41910">
      <w:pPr>
        <w:pStyle w:val="Standard"/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</w:p>
    <w:p w:rsidR="000D58F0" w:rsidRDefault="000D58F0">
      <w:pPr>
        <w:pStyle w:val="Standard"/>
        <w:spacing w:after="0" w:line="240" w:lineRule="auto"/>
        <w:rPr>
          <w:rFonts w:ascii="Corbel" w:hAnsi="Corbel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0D58F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z w:val="22"/>
              </w:rPr>
              <w:t>EK</w:t>
            </w:r>
            <w:r>
              <w:rPr>
                <w:rFonts w:ascii="Corbel" w:hAnsi="Corbel"/>
                <w:b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0D58F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Default"/>
            </w:pPr>
            <w:r>
              <w:rPr>
                <w:rFonts w:ascii="Corbel" w:hAnsi="Corbel"/>
                <w:sz w:val="22"/>
                <w:szCs w:val="22"/>
              </w:rPr>
              <w:t>Absolwent zna i rozumie rolę języka jako narzędzia poznania i komunikacji, terminologię filozoficzną w języku łacińskim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0D58F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Default"/>
            </w:pPr>
            <w:r>
              <w:rPr>
                <w:rFonts w:ascii="Corbel" w:hAnsi="Corbel"/>
                <w:sz w:val="22"/>
                <w:szCs w:val="22"/>
              </w:rPr>
              <w:t xml:space="preserve">Absolwent potrafi zastosować wiedzę gramatyczną i leksykalną do samodzielnego tłumaczenia tekstów łacińskich, potrafi analizować i krytycznie interpretować teksty źródłowe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0D58F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Student krytycznie ocenia posiadaną wiedzę i odbierane treści; uznaje znaczenie wiedzy z zakresu studiowanych dyscyplin w rozwiązywaniu problemów poznawczych.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lastRenderedPageBreak/>
        <w:t xml:space="preserve">3.3 Treści programowe </w:t>
      </w:r>
      <w:r>
        <w:rPr>
          <w:rFonts w:ascii="Corbel" w:hAnsi="Corbel"/>
        </w:rPr>
        <w:t xml:space="preserve">  </w:t>
      </w:r>
    </w:p>
    <w:p w:rsidR="000D58F0" w:rsidRDefault="00F4191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wykładu</w:t>
      </w:r>
    </w:p>
    <w:p w:rsidR="000D58F0" w:rsidRDefault="000D58F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0D58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0D58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0D58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:rsidR="000D58F0" w:rsidRDefault="000D58F0">
      <w:pPr>
        <w:pStyle w:val="Standard"/>
        <w:spacing w:after="0" w:line="240" w:lineRule="auto"/>
        <w:rPr>
          <w:rFonts w:ascii="Corbel" w:hAnsi="Corbel"/>
        </w:rPr>
      </w:pPr>
    </w:p>
    <w:p w:rsidR="000D58F0" w:rsidRDefault="00F4191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ćwiczeń audytoryjnych, konwersatoryjnych, laboratoryjnych, zajęć praktycznych</w:t>
      </w:r>
    </w:p>
    <w:p w:rsidR="000D58F0" w:rsidRDefault="000D58F0">
      <w:pPr>
        <w:pStyle w:val="Akapitzlist"/>
        <w:spacing w:line="240" w:lineRule="auto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Historia języka, wymowa, alfabet, iloczas, akcent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 rzeczownik, czasownik koniugacji I indicativus praesentis activi, imperativus i infinitivus praesentis activi, budowa zdania prostego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 rzeczownik i przymiotnik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koniugacji II, II, IV indicativus praesentis activi,  infinitivus praesentis activi, czasownik posiłkowy i jego złożenia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podstawową terminologią filozoficzną w języku łacińskim.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indicativus imperfecti activi, zaimek osobowy i dzierżawczy.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indicativus futuri I activi, imperativus futuri czasownika posiłkowego.</w:t>
            </w:r>
          </w:p>
        </w:tc>
      </w:tr>
      <w:tr w:rsidR="000D58F0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koniugacji I-IV w trybie oznajmującym w czasie praesens, imperfectum, futurum I passivi, infinitivus praesentis passivi.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wybranych tekstów, zwrotów i sentencji łacińskich, objaśnienie stosowanych w języku łacińskim skrótów.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II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III rzeczownik (typ spółgłoskowy, samogłoskowy, mieszany).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III przymiotniki.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Składnia accusativus cum infinitivo  - infinitivus praesentis (porównanie z konstrukcją stosowaną w języku angielskim)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Stopniowanie przymiotników, wyrażenie porównania (ablativus comparativus, genetivus partitivus).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w czasie perfectum, plusquamperfectum i futurum II activi, infinitivus perfecti activi.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Wybrane imiesłowy łacińskie (participium praesentis activi, i perfecti passivi; porównanie imiesłowów łacińskich z polskimi).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IV i V, wybrane zaimki wskazujące i zaimek względny.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w czasie perfectum, plusquamperfectum i futurum II passivi, infinitivus perfecti passivi.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zaimki wskazujące.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Budowa zdania złożonego, wybrane rodzaje zdań podrzędnych (indicativus).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prostych - oryginalnych tekstów literackich (we fragmentach), zwrotów i sentencji łacińskich, objaśnienie stosowanych w języku łacińskim skrótów.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III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- coniunctivus praesentis i impefecti activi et passivi.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 - coniunctivus perfecti i plusquamperfecti activi et passivi.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Następstwo czasów (consecutio temporum).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Coniunctivus w zdaniach głównych „Gaudeamus igitur”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Budowa wybranych zdań podrzędnych (coniunctivus) – zdanie celowe i dopełnieniowe, pytające, warunkowe.</w:t>
            </w:r>
          </w:p>
        </w:tc>
      </w:tr>
      <w:tr w:rsidR="000D58F0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prostych - oryginalnych tekstów literackich (wybrane fragmenty)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120"/>
        <w:ind w:left="425"/>
      </w:pPr>
      <w:r>
        <w:rPr>
          <w:rFonts w:ascii="Corbel" w:hAnsi="Corbel"/>
          <w:sz w:val="22"/>
        </w:rPr>
        <w:t>3.4 Metody dydaktyczne</w:t>
      </w:r>
    </w:p>
    <w:p w:rsidR="000D58F0" w:rsidRDefault="00F41910">
      <w:pPr>
        <w:pStyle w:val="Standard"/>
        <w:ind w:left="426"/>
        <w:rPr>
          <w:rFonts w:ascii="Corbel" w:hAnsi="Corbel"/>
        </w:rPr>
      </w:pPr>
      <w:r>
        <w:rPr>
          <w:rFonts w:ascii="Corbel" w:hAnsi="Corbel"/>
        </w:rPr>
        <w:t>Wykład, rozwiązywanie ćwiczeń i testów, analiza, tłumaczenie i interpretacja tekstów łacińskich, praca w grupach.</w:t>
      </w:r>
    </w:p>
    <w:p w:rsidR="000D58F0" w:rsidRDefault="000D58F0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0D58F0" w:rsidRDefault="00F41910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 METODY I KRYTERIA OCENY</w:t>
      </w:r>
    </w:p>
    <w:p w:rsidR="000D58F0" w:rsidRDefault="000D58F0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0D58F0" w:rsidRDefault="00F41910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4.1 Sposoby weryfikacji efektów uczenia się</w:t>
      </w:r>
    </w:p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0D58F0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Metody oceny efektów uczenia się</w:t>
            </w:r>
          </w:p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 w:val="22"/>
              </w:rPr>
              <w:t>Forma zajęć dydaktycznych</w:t>
            </w:r>
          </w:p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(w, ćw, …)</w:t>
            </w:r>
          </w:p>
        </w:tc>
      </w:tr>
      <w:tr w:rsidR="000D58F0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pisemna i ustna, projekt indywidualny, test pisemny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0D58F0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ustna (analiza tekstu), realizacja projektu, test pisemny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0D58F0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realizacja projektu indywidualnego, obserwacja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4.2 Warunki zaliczenia przedmiotu (kryteria oceniania)</w:t>
      </w:r>
    </w:p>
    <w:p w:rsidR="000D58F0" w:rsidRDefault="000D58F0">
      <w:pPr>
        <w:pStyle w:val="Punktygwne"/>
        <w:spacing w:before="0" w:after="0"/>
        <w:ind w:left="426"/>
        <w:rPr>
          <w:rFonts w:ascii="Corbel" w:hAnsi="Corbel"/>
          <w:sz w:val="22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0D58F0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 potrzeba minimum 51% prawidłowych odpowiedzi.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Sposoby zaliczenia: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praca projektowa (prezentacja projektu indywidualnego z zakresu studiowanego kierunku i specjalności),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zaliczenie sprawdzianu pisemnego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Formy zaliczenia: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krótsza i dłuższa wypowiedź ustna,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zaliczenie sprawdzianu pisemnego,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wykonanie pracy zaliczeniowej: prezentacja projektu indywidualnego z zakresu studiowanego kierunku i specjalności (tłumaczenie tekstu, prezentacja multimedialna).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 w:val="22"/>
              </w:rPr>
              <w:t>Ustalenie oceny zaliczeniowej na podstawie ocen cząstkowych.</w:t>
            </w:r>
          </w:p>
          <w:p w:rsidR="000D58F0" w:rsidRDefault="00F41910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1: test, kolokwium, zaliczenie projektu indywidualnego (tłumaczenie tekstu).</w:t>
            </w:r>
          </w:p>
          <w:p w:rsidR="000D58F0" w:rsidRDefault="00F41910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2: test, kolokwium, zaliczenie projektu indywidualnego (tłumaczenie tekstu).</w:t>
            </w:r>
          </w:p>
          <w:p w:rsidR="000D58F0" w:rsidRDefault="00F41910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3: test, kolokwium, zaliczenie projektu indywidualnego (tłumaczenie tekstu).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Kryteria oceny prac pisemnych: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5.0 – wykazuje znajomość każdej z treści kształcenia na poziomie 91%-100%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4.5 – wykazuje znajomość każdej z treści kształcenia na poziomie 81%-90%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4.0 – wykazuje znajomość każdej z treści kształcenia na poziomie 71%-80%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3.5 – wykazuje znajomość każdej z treści kształcenia na poziomie 61%-70%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3.0 – wykazuje znajomość każdej z treści kształcenia na poziomie 51%-60%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2.0– wykazuje znajomość każdej z treści kształcenia poniżej 50%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Kryteria oceny odpowiedzi ustnej: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5.0 – wykazuje znajomość treści kształcenia na poziomie 91%-100%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bardzo dobra: bardzo dobry poziom znajomości słownictwa i struktur językowych, brak błędów językowych lub nieliczne błędy językowe.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4.5 – wykazuje znajomość treści kształcenia na poziomie 81%-90%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 plus dobra: dobry  poziom znajomości słownictwa i struktur językowych, nieliczne błędy językowe.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4.0 – wykazuje znajomość treści kształcenia na poziomie 71%-80%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dobra: zadawalający poziom znajomości słownictwa i struktur językowych, nieliczne błędy językowe.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3.5 – wykazuje znajomość treści kształcenia na poziomie 61%-70%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+dostateczna: ograniczona znajomość słownictwa i struktur językowych, odpowiedzi częściowo odbiegające od treści zadanego pytania, niekompletna.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3.0 – wykazuje znajomość treści kształcenia na poziomie 51%-60%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dostateczna: ograniczona znajomość słownictwa i struktur językowych, liczne błędy językowe, niepełne odpowiedzi na pytania, odpowiedzi częściowo odbiegające od treści zadanego pytania.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2.0 – wykazuje znajomość treści kształcenia poniżej 50%</w:t>
            </w:r>
          </w:p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Ocena niedostateczna: brak odpowiedzi lub bardzo ograniczona znajomość słownictwa i struktur językowych uniemożliwiająca wykonanie zadania, chaotyczna konstrukcja wypowiedzi, bardzo uboga treść, mylenie i zniekształcanie podstawowych informacji.</w:t>
            </w:r>
          </w:p>
          <w:p w:rsidR="000D58F0" w:rsidRDefault="000D5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Ocenę pozytywną z przedmiotu można otrzymać</w:t>
            </w:r>
          </w:p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wyłącznie pod warunkiem uzyskania pozytywnej oceny</w:t>
            </w:r>
          </w:p>
          <w:p w:rsidR="000D58F0" w:rsidRDefault="00F419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za każdy z ustanowionych efektów kształcenia.</w:t>
            </w:r>
          </w:p>
        </w:tc>
      </w:tr>
    </w:tbl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5. CAŁKOWITY NAKŁAD PRACY STUDENTA POTRZEBNY DO OSIĄGNIĘCIA ZAŁOŻONYCH EFEKTÓW W GODZINACH ORAZ PUNKTACH ECTS</w:t>
      </w:r>
    </w:p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4678"/>
      </w:tblGrid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z planu studiów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30+30+30</w:t>
            </w:r>
          </w:p>
        </w:tc>
      </w:tr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10+10+10</w:t>
            </w:r>
          </w:p>
          <w:p w:rsidR="000D58F0" w:rsidRDefault="000D5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czas na przygotowanie lektury/projektu, napisanie referatu, praca własna w ramach e-dydaktyki)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20+20+20</w:t>
            </w:r>
          </w:p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czas na przygotowanie lektury/projektu, napisanie referatu, praca własna w ramach e-dydaktyki)</w:t>
            </w:r>
          </w:p>
        </w:tc>
      </w:tr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180</w:t>
            </w:r>
          </w:p>
        </w:tc>
      </w:tr>
      <w:tr w:rsidR="000D58F0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6</w:t>
            </w:r>
          </w:p>
        </w:tc>
      </w:tr>
    </w:tbl>
    <w:p w:rsidR="000D58F0" w:rsidRDefault="00F41910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0D58F0" w:rsidRDefault="000D58F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6. PRAKTYKI ZAWODOWE W RAMACH PRZEDMIOTU</w:t>
      </w:r>
    </w:p>
    <w:p w:rsidR="000D58F0" w:rsidRDefault="000D58F0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3970"/>
      </w:tblGrid>
      <w:tr w:rsidR="000D58F0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brak</w:t>
            </w:r>
          </w:p>
        </w:tc>
      </w:tr>
      <w:tr w:rsidR="000D58F0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0D58F0" w:rsidRDefault="000D58F0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7. LITERATURA</w:t>
      </w:r>
    </w:p>
    <w:p w:rsidR="000D58F0" w:rsidRDefault="000D58F0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0D58F0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Jurewicz O., Winniczuk L., Żuławska J.,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Język łaciński. Podręcznik dla lektoratów szkół wyższych</w:t>
            </w:r>
            <w:r>
              <w:rPr>
                <w:rFonts w:ascii="Corbel" w:hAnsi="Corbel" w:cs="Corbel"/>
                <w:b w:val="0"/>
                <w:sz w:val="22"/>
              </w:rPr>
              <w:t>, Wydawnictwo Naukowe PWN, Warszawa 2018</w:t>
            </w:r>
          </w:p>
        </w:tc>
      </w:tr>
      <w:tr w:rsidR="000D58F0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8F0" w:rsidRDefault="00F4191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Literatura uzupełniająca: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Kumaniecki K.,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Słownik łacińsko-polski</w:t>
            </w:r>
            <w:r>
              <w:rPr>
                <w:rFonts w:ascii="Corbel" w:hAnsi="Corbel" w:cs="Corbel"/>
                <w:b w:val="0"/>
                <w:sz w:val="22"/>
              </w:rPr>
              <w:t>, Wydawnictwo Szkolne PWN, Warszawa 2001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Korpanty J.,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Mały słownik łacińsko-polski</w:t>
            </w:r>
            <w:r>
              <w:rPr>
                <w:rFonts w:ascii="Corbel" w:hAnsi="Corbel" w:cs="Corbel"/>
                <w:b w:val="0"/>
                <w:sz w:val="22"/>
              </w:rPr>
              <w:t>, Wydawnictwo Szkolne PWN, Warszawa 2014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Wielewski M.,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Krótka gramatyka języka łacińskiego</w:t>
            </w:r>
            <w:r>
              <w:rPr>
                <w:rFonts w:ascii="Corbel" w:hAnsi="Corbel" w:cs="Corbel"/>
                <w:b w:val="0"/>
                <w:sz w:val="22"/>
              </w:rPr>
              <w:t>, Wydawnictwa Szkolne i Pedagogiczne, Warszawa 1998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Winniczuk L.,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Ludzie, zwyczaje i obyczaje starożytnej Grecji i Rzymu</w:t>
            </w:r>
            <w:r>
              <w:rPr>
                <w:rFonts w:ascii="Corbel" w:hAnsi="Corbel" w:cs="Corbel"/>
                <w:b w:val="0"/>
                <w:sz w:val="22"/>
              </w:rPr>
              <w:t>, Wydawnictwo Naukowe PWN, Warszawa 2006</w:t>
            </w:r>
          </w:p>
          <w:p w:rsidR="000D58F0" w:rsidRDefault="00F41910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Ryba J., Wolanin E., Klęczar A.,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Homo Romanus. Podręcznik do języka łacińskiego i kultury antycznej</w:t>
            </w:r>
            <w:r>
              <w:rPr>
                <w:rFonts w:ascii="Corbel" w:hAnsi="Corbel" w:cs="Corbel"/>
                <w:b w:val="0"/>
                <w:sz w:val="22"/>
              </w:rPr>
              <w:t>, Wydawnictwo Draco 2017</w:t>
            </w:r>
          </w:p>
        </w:tc>
      </w:tr>
    </w:tbl>
    <w:p w:rsidR="000D58F0" w:rsidRDefault="000D58F0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0D58F0" w:rsidRDefault="000D58F0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0D58F0" w:rsidRDefault="00F41910">
      <w:pPr>
        <w:pStyle w:val="Punktygwne"/>
        <w:spacing w:before="0" w:after="0"/>
        <w:ind w:left="360"/>
      </w:pPr>
      <w:r>
        <w:rPr>
          <w:rFonts w:ascii="Corbel" w:hAnsi="Corbel"/>
          <w:b w:val="0"/>
          <w:sz w:val="22"/>
        </w:rPr>
        <w:t>Akceptacja Kierownika Jednostki lub osoby upoważnionej</w:t>
      </w:r>
    </w:p>
    <w:sectPr w:rsidR="000D58F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719" w:rsidRDefault="003D7719">
      <w:r>
        <w:separator/>
      </w:r>
    </w:p>
  </w:endnote>
  <w:endnote w:type="continuationSeparator" w:id="0">
    <w:p w:rsidR="003D7719" w:rsidRDefault="003D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719" w:rsidRDefault="003D7719">
      <w:r>
        <w:rPr>
          <w:color w:val="000000"/>
        </w:rPr>
        <w:separator/>
      </w:r>
    </w:p>
  </w:footnote>
  <w:footnote w:type="continuationSeparator" w:id="0">
    <w:p w:rsidR="003D7719" w:rsidRDefault="003D7719">
      <w:r>
        <w:continuationSeparator/>
      </w:r>
    </w:p>
  </w:footnote>
  <w:footnote w:id="1">
    <w:p w:rsidR="000D58F0" w:rsidRDefault="00F41910">
      <w:pPr>
        <w:pStyle w:val="Tekstprzypisudolnego"/>
      </w:pPr>
      <w:r>
        <w:rPr>
          <w:rStyle w:val="Odwoanieprzypisudolnego"/>
        </w:rPr>
        <w:footnoteRef/>
      </w:r>
      <w: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7320"/>
    <w:multiLevelType w:val="multilevel"/>
    <w:tmpl w:val="DA7A02CA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8F0"/>
    <w:rsid w:val="000D58F0"/>
    <w:rsid w:val="003D7719"/>
    <w:rsid w:val="00773B0B"/>
    <w:rsid w:val="0099138D"/>
    <w:rsid w:val="00F4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4224"/>
  <w15:docId w15:val="{06B0CD42-8117-4BEB-AF10-33B46F7B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widowControl/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xtbody"/>
    <w:pPr>
      <w:tabs>
        <w:tab w:val="left" w:pos="-5643"/>
      </w:tabs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xtbody"/>
    <w:pPr>
      <w:tabs>
        <w:tab w:val="left" w:pos="-545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xtbody"/>
    <w:pPr>
      <w:tabs>
        <w:tab w:val="left" w:pos="-4914"/>
        <w:tab w:val="left" w:pos="1620"/>
      </w:tabs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xtbod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Standar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pPr>
      <w:widowControl/>
      <w:suppressAutoHyphens/>
    </w:pPr>
    <w:rPr>
      <w:rFonts w:ascii="Calibri" w:hAnsi="Calibri"/>
      <w:sz w:val="22"/>
      <w:szCs w:val="22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ytuZnak">
    <w:name w:val="Tytuł Znak"/>
    <w:rPr>
      <w:rFonts w:eastAsia="Times New Roman"/>
      <w:b/>
      <w:bCs/>
      <w:lang w:eastAsia="pl-PL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1587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2022-12-08T10:16:00Z</cp:lastPrinted>
  <dcterms:created xsi:type="dcterms:W3CDTF">2022-12-08T10:16:00Z</dcterms:created>
  <dcterms:modified xsi:type="dcterms:W3CDTF">2024-08-13T09:27:00Z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